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449E23" w14:textId="77777777" w:rsidR="00B46E2E" w:rsidRPr="00B46E2E" w:rsidRDefault="00B46E2E" w:rsidP="00B46E2E">
      <w:pPr>
        <w:keepNext/>
        <w:overflowPunct w:val="0"/>
        <w:autoSpaceDE w:val="0"/>
        <w:autoSpaceDN w:val="0"/>
        <w:adjustRightInd w:val="0"/>
        <w:spacing w:before="120" w:after="120" w:line="240" w:lineRule="auto"/>
        <w:ind w:left="3600"/>
        <w:textAlignment w:val="baseline"/>
        <w:outlineLvl w:val="0"/>
        <w:rPr>
          <w:rFonts w:ascii="Times New Roman" w:eastAsia="Times New Roman" w:hAnsi="Times New Roman" w:cs="Times New Roman"/>
          <w:b/>
          <w:bCs/>
          <w:kern w:val="32"/>
          <w:sz w:val="20"/>
          <w:szCs w:val="20"/>
        </w:rPr>
      </w:pPr>
      <w:bookmarkStart w:id="0" w:name="_Toc416712449"/>
      <w:r w:rsidRPr="00B46E2E">
        <w:rPr>
          <w:rFonts w:ascii="Times New Roman" w:eastAsia="Times New Roman" w:hAnsi="Times New Roman" w:cs="Times New Roman"/>
          <w:b/>
          <w:bCs/>
          <w:kern w:val="32"/>
          <w:sz w:val="20"/>
          <w:szCs w:val="20"/>
        </w:rPr>
        <w:t>MIDTERM EXAM</w:t>
      </w:r>
      <w:bookmarkEnd w:id="0"/>
    </w:p>
    <w:p w14:paraId="2377AC93" w14:textId="77777777" w:rsidR="00B46E2E" w:rsidRPr="00B46E2E" w:rsidRDefault="00B46E2E" w:rsidP="00B46E2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bookmarkStart w:id="1" w:name="_GoBack"/>
      <w:bookmarkEnd w:id="1"/>
    </w:p>
    <w:p w14:paraId="41243F1F" w14:textId="77777777" w:rsidR="00B46E2E" w:rsidRPr="00B46E2E" w:rsidRDefault="00B46E2E" w:rsidP="00B46E2E">
      <w:pPr>
        <w:overflowPunct w:val="0"/>
        <w:autoSpaceDE w:val="0"/>
        <w:autoSpaceDN w:val="0"/>
        <w:adjustRightInd w:val="0"/>
        <w:spacing w:after="0" w:line="240" w:lineRule="auto"/>
        <w:textAlignment w:val="baseline"/>
        <w:rPr>
          <w:rFonts w:ascii="Times New Roman" w:eastAsia="Times New Roman" w:hAnsi="Times New Roman" w:cs="Times New Roman"/>
          <w:i/>
          <w:sz w:val="20"/>
          <w:szCs w:val="20"/>
        </w:rPr>
      </w:pPr>
      <w:r w:rsidRPr="00B46E2E">
        <w:rPr>
          <w:rFonts w:ascii="Times New Roman" w:eastAsia="Times New Roman" w:hAnsi="Times New Roman" w:cs="Times New Roman"/>
          <w:b/>
          <w:sz w:val="20"/>
          <w:szCs w:val="20"/>
        </w:rPr>
        <w:t>Part I:</w:t>
      </w:r>
      <w:r w:rsidRPr="00B46E2E">
        <w:rPr>
          <w:rFonts w:ascii="Times New Roman" w:eastAsia="Times New Roman" w:hAnsi="Times New Roman" w:cs="Times New Roman"/>
          <w:sz w:val="20"/>
          <w:szCs w:val="20"/>
        </w:rPr>
        <w:t xml:space="preserve">  </w:t>
      </w:r>
      <w:r w:rsidRPr="00B46E2E">
        <w:rPr>
          <w:rFonts w:ascii="Times New Roman" w:eastAsia="Times New Roman" w:hAnsi="Times New Roman" w:cs="Times New Roman"/>
          <w:i/>
          <w:sz w:val="20"/>
          <w:szCs w:val="20"/>
        </w:rPr>
        <w:t xml:space="preserve">Answer three of the following five questions.  It is possible to write much more on these topics, but part of the challenge here is to be concise, so keep your responses to a paragraph or two. </w:t>
      </w:r>
    </w:p>
    <w:p w14:paraId="26965930" w14:textId="77777777" w:rsidR="00B46E2E" w:rsidRPr="00B46E2E" w:rsidRDefault="00B46E2E" w:rsidP="00B46E2E">
      <w:pPr>
        <w:numPr>
          <w:ilvl w:val="0"/>
          <w:numId w:val="1"/>
        </w:numPr>
        <w:overflowPunct w:val="0"/>
        <w:autoSpaceDE w:val="0"/>
        <w:autoSpaceDN w:val="0"/>
        <w:adjustRightInd w:val="0"/>
        <w:spacing w:before="120" w:after="0" w:line="240" w:lineRule="auto"/>
        <w:ind w:left="360"/>
        <w:textAlignment w:val="baseline"/>
        <w:rPr>
          <w:rFonts w:ascii="Times New Roman" w:eastAsia="Times New Roman" w:hAnsi="Times New Roman" w:cs="Times New Roman"/>
          <w:sz w:val="20"/>
          <w:szCs w:val="20"/>
        </w:rPr>
      </w:pPr>
      <w:r w:rsidRPr="00B46E2E">
        <w:rPr>
          <w:rFonts w:ascii="Times New Roman" w:eastAsia="Times New Roman" w:hAnsi="Times New Roman" w:cs="Times New Roman"/>
          <w:sz w:val="20"/>
          <w:szCs w:val="20"/>
        </w:rPr>
        <w:t xml:space="preserve">Why did we begin a course on ‘ethnic American literature’ with such early literatures? Why, in particular, did we study Europeans’ interactions with Native Americans and with people of African descent?   </w:t>
      </w:r>
    </w:p>
    <w:p w14:paraId="70E84081" w14:textId="77777777" w:rsidR="00B46E2E" w:rsidRPr="00B46E2E" w:rsidRDefault="00B46E2E" w:rsidP="00B46E2E">
      <w:pPr>
        <w:numPr>
          <w:ilvl w:val="0"/>
          <w:numId w:val="1"/>
        </w:numPr>
        <w:overflowPunct w:val="0"/>
        <w:autoSpaceDE w:val="0"/>
        <w:autoSpaceDN w:val="0"/>
        <w:adjustRightInd w:val="0"/>
        <w:spacing w:before="120" w:after="0" w:line="240" w:lineRule="auto"/>
        <w:ind w:left="360"/>
        <w:textAlignment w:val="baseline"/>
        <w:rPr>
          <w:rFonts w:ascii="Times New Roman" w:eastAsia="Times New Roman" w:hAnsi="Times New Roman" w:cs="Times New Roman"/>
          <w:sz w:val="20"/>
          <w:szCs w:val="20"/>
        </w:rPr>
      </w:pPr>
      <w:r w:rsidRPr="00B46E2E">
        <w:rPr>
          <w:rFonts w:ascii="Times New Roman" w:eastAsia="Times New Roman" w:hAnsi="Times New Roman" w:cs="Times New Roman"/>
          <w:sz w:val="20"/>
          <w:szCs w:val="20"/>
        </w:rPr>
        <w:t xml:space="preserve">You are unlikely to encounter Thomas Morton and Roger Williams outside of a specialized college course, but the mythology of William Bradford’s Pilgrims is central to American self-understanding.  Imagine for a moment that Morton and Williams are the primary ways we remember seventeenth-century New England.    On Thanksgiving, instead of seasoning a turkey with Pilgrim salt and pepper shakers, every family sets up a maypole for dancing and drinking (“Make </w:t>
      </w:r>
      <w:proofErr w:type="spellStart"/>
      <w:r w:rsidRPr="00B46E2E">
        <w:rPr>
          <w:rFonts w:ascii="Times New Roman" w:eastAsia="Times New Roman" w:hAnsi="Times New Roman" w:cs="Times New Roman"/>
          <w:sz w:val="20"/>
          <w:szCs w:val="20"/>
        </w:rPr>
        <w:t>greene</w:t>
      </w:r>
      <w:proofErr w:type="spellEnd"/>
      <w:r w:rsidRPr="00B46E2E">
        <w:rPr>
          <w:rFonts w:ascii="Times New Roman" w:eastAsia="Times New Roman" w:hAnsi="Times New Roman" w:cs="Times New Roman"/>
          <w:sz w:val="20"/>
          <w:szCs w:val="20"/>
        </w:rPr>
        <w:t xml:space="preserve"> </w:t>
      </w:r>
      <w:proofErr w:type="spellStart"/>
      <w:r w:rsidRPr="00B46E2E">
        <w:rPr>
          <w:rFonts w:ascii="Times New Roman" w:eastAsia="Times New Roman" w:hAnsi="Times New Roman" w:cs="Times New Roman"/>
          <w:sz w:val="20"/>
          <w:szCs w:val="20"/>
        </w:rPr>
        <w:t>garlons</w:t>
      </w:r>
      <w:proofErr w:type="spellEnd"/>
      <w:r w:rsidRPr="00B46E2E">
        <w:rPr>
          <w:rFonts w:ascii="Times New Roman" w:eastAsia="Times New Roman" w:hAnsi="Times New Roman" w:cs="Times New Roman"/>
          <w:sz w:val="20"/>
          <w:szCs w:val="20"/>
        </w:rPr>
        <w:t xml:space="preserve">, bring bottles out/And fill sweet Nectar freely about!”) and reads from </w:t>
      </w:r>
      <w:r w:rsidRPr="00B46E2E">
        <w:rPr>
          <w:rFonts w:ascii="Times New Roman" w:eastAsia="Times New Roman" w:hAnsi="Times New Roman" w:cs="Times New Roman"/>
          <w:i/>
          <w:iCs/>
          <w:sz w:val="20"/>
          <w:szCs w:val="20"/>
        </w:rPr>
        <w:t>A Key in the Language</w:t>
      </w:r>
      <w:r w:rsidRPr="00B46E2E">
        <w:rPr>
          <w:rFonts w:ascii="Times New Roman" w:eastAsia="Times New Roman" w:hAnsi="Times New Roman" w:cs="Times New Roman"/>
          <w:sz w:val="20"/>
          <w:szCs w:val="20"/>
        </w:rPr>
        <w:t>.   In this parallel America, what might be different about how America understands its relationship to Native Americans?  And, more broadly, could you imagine the subsequent history of ethnicity in America being changed?  (Try to refer to a few specific parts of Morton, Williams, or both.)</w:t>
      </w:r>
    </w:p>
    <w:p w14:paraId="18FF8C4D" w14:textId="77777777" w:rsidR="00B46E2E" w:rsidRPr="00B46E2E" w:rsidRDefault="00B46E2E" w:rsidP="00B46E2E">
      <w:pPr>
        <w:numPr>
          <w:ilvl w:val="0"/>
          <w:numId w:val="1"/>
        </w:numPr>
        <w:overflowPunct w:val="0"/>
        <w:autoSpaceDE w:val="0"/>
        <w:autoSpaceDN w:val="0"/>
        <w:adjustRightInd w:val="0"/>
        <w:spacing w:before="120" w:after="0" w:line="240" w:lineRule="auto"/>
        <w:ind w:left="360"/>
        <w:textAlignment w:val="baseline"/>
        <w:rPr>
          <w:rFonts w:ascii="Times New Roman" w:eastAsia="Times New Roman" w:hAnsi="Times New Roman" w:cs="Times New Roman"/>
          <w:sz w:val="20"/>
          <w:szCs w:val="20"/>
        </w:rPr>
      </w:pPr>
      <w:r w:rsidRPr="00B46E2E">
        <w:rPr>
          <w:rFonts w:ascii="Times New Roman" w:eastAsia="Times New Roman" w:hAnsi="Times New Roman" w:cs="Times New Roman"/>
          <w:sz w:val="20"/>
          <w:szCs w:val="20"/>
        </w:rPr>
        <w:t xml:space="preserve">Phillis Wheatley sees herself in the poems we read as an American, a Christian, black, a slave, and an artist.   Based on what we read, what is the relative importance of each of these terms—which seem most significant to her?    </w:t>
      </w:r>
    </w:p>
    <w:p w14:paraId="1EB62E22" w14:textId="77777777" w:rsidR="00B46E2E" w:rsidRPr="00B46E2E" w:rsidRDefault="00B46E2E" w:rsidP="00B46E2E">
      <w:pPr>
        <w:numPr>
          <w:ilvl w:val="0"/>
          <w:numId w:val="1"/>
        </w:numPr>
        <w:overflowPunct w:val="0"/>
        <w:autoSpaceDE w:val="0"/>
        <w:autoSpaceDN w:val="0"/>
        <w:adjustRightInd w:val="0"/>
        <w:spacing w:before="120" w:after="0" w:line="240" w:lineRule="auto"/>
        <w:ind w:left="360"/>
        <w:textAlignment w:val="baseline"/>
        <w:rPr>
          <w:rFonts w:ascii="Times New Roman" w:eastAsia="Times New Roman" w:hAnsi="Times New Roman" w:cs="Times New Roman"/>
          <w:sz w:val="20"/>
          <w:szCs w:val="20"/>
        </w:rPr>
      </w:pPr>
      <w:r w:rsidRPr="00B46E2E">
        <w:rPr>
          <w:rFonts w:ascii="Times New Roman" w:eastAsia="Times New Roman" w:hAnsi="Times New Roman" w:cs="Times New Roman"/>
          <w:sz w:val="20"/>
          <w:szCs w:val="20"/>
        </w:rPr>
        <w:t xml:space="preserve">Our black writers had many differences, but they were alike in their ability to bring their stories to an audience.  They wrote (or in Smith’s case, spoke) in compelling ways; these writers were all published in their lifetimes.   Choose any two of these writers (Wheatley, Jones &amp; Allen, Smith, Walker, Douglass) and briefly explore why their voices were published and preserved—why are we still reading them?    Taken together, what do your writers suggest about how the ethnic ‘other’ can be heard? </w:t>
      </w:r>
    </w:p>
    <w:p w14:paraId="4E147EC1" w14:textId="77777777" w:rsidR="00B46E2E" w:rsidRPr="00B46E2E" w:rsidRDefault="00B46E2E" w:rsidP="00B46E2E">
      <w:pPr>
        <w:numPr>
          <w:ilvl w:val="0"/>
          <w:numId w:val="1"/>
        </w:numPr>
        <w:overflowPunct w:val="0"/>
        <w:autoSpaceDE w:val="0"/>
        <w:autoSpaceDN w:val="0"/>
        <w:adjustRightInd w:val="0"/>
        <w:spacing w:before="120" w:after="0" w:line="240" w:lineRule="auto"/>
        <w:ind w:left="360"/>
        <w:textAlignment w:val="baseline"/>
        <w:rPr>
          <w:rFonts w:ascii="Times New Roman" w:eastAsia="Times New Roman" w:hAnsi="Times New Roman" w:cs="Times New Roman"/>
          <w:sz w:val="20"/>
          <w:szCs w:val="20"/>
        </w:rPr>
      </w:pPr>
      <w:r w:rsidRPr="00B46E2E">
        <w:rPr>
          <w:rFonts w:ascii="Times New Roman" w:eastAsia="Times New Roman" w:hAnsi="Times New Roman" w:cs="Times New Roman"/>
          <w:sz w:val="20"/>
          <w:szCs w:val="20"/>
        </w:rPr>
        <w:t xml:space="preserve">María Amparo Ruiz de Burton titles her 1885 novel </w:t>
      </w:r>
      <w:r w:rsidRPr="00B46E2E">
        <w:rPr>
          <w:rFonts w:ascii="Times New Roman" w:eastAsia="Times New Roman" w:hAnsi="Times New Roman" w:cs="Times New Roman"/>
          <w:i/>
          <w:sz w:val="20"/>
          <w:szCs w:val="20"/>
        </w:rPr>
        <w:t>The Squatter and the Don</w:t>
      </w:r>
      <w:r w:rsidRPr="00B46E2E">
        <w:rPr>
          <w:rFonts w:ascii="Times New Roman" w:eastAsia="Times New Roman" w:hAnsi="Times New Roman" w:cs="Times New Roman"/>
          <w:sz w:val="20"/>
          <w:szCs w:val="20"/>
        </w:rPr>
        <w:t xml:space="preserve">.   Who is the ‘Squatter’, and who is the ‘Don’?   What are their ethnicities?  Which man has a longer history in California?   What is the recent war and treaty that have created the conflict between them?  What does this conflict reveal about the broader history of Anglos and Mexicans in the American West?    </w:t>
      </w:r>
    </w:p>
    <w:p w14:paraId="034F98FE" w14:textId="77777777" w:rsidR="00B46E2E" w:rsidRPr="00B46E2E" w:rsidRDefault="00B46E2E" w:rsidP="00B46E2E">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sz w:val="20"/>
          <w:szCs w:val="20"/>
        </w:rPr>
      </w:pPr>
    </w:p>
    <w:p w14:paraId="1FAD0AD0" w14:textId="77777777" w:rsidR="00B46E2E" w:rsidRPr="00B46E2E" w:rsidRDefault="00B46E2E" w:rsidP="00B46E2E">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rPr>
      </w:pPr>
      <w:r w:rsidRPr="00B46E2E">
        <w:rPr>
          <w:rFonts w:ascii="Times New Roman" w:eastAsia="Times New Roman" w:hAnsi="Times New Roman" w:cs="Times New Roman"/>
          <w:b/>
          <w:sz w:val="20"/>
          <w:szCs w:val="20"/>
        </w:rPr>
        <w:t>Part II:</w:t>
      </w:r>
      <w:r w:rsidRPr="00B46E2E">
        <w:rPr>
          <w:rFonts w:ascii="Times New Roman" w:eastAsia="Times New Roman" w:hAnsi="Times New Roman" w:cs="Times New Roman"/>
          <w:sz w:val="20"/>
          <w:szCs w:val="20"/>
        </w:rPr>
        <w:t xml:space="preserve">  At the beginning of the course, I wrote:</w:t>
      </w:r>
    </w:p>
    <w:p w14:paraId="4C848C6E" w14:textId="77777777" w:rsidR="00B46E2E" w:rsidRPr="00B46E2E" w:rsidRDefault="00B46E2E" w:rsidP="00B46E2E">
      <w:pPr>
        <w:overflowPunct w:val="0"/>
        <w:autoSpaceDE w:val="0"/>
        <w:autoSpaceDN w:val="0"/>
        <w:adjustRightInd w:val="0"/>
        <w:spacing w:before="120" w:after="0" w:line="240" w:lineRule="auto"/>
        <w:ind w:left="720"/>
        <w:textAlignment w:val="baseline"/>
        <w:rPr>
          <w:rFonts w:ascii="Times New Roman" w:eastAsia="Times New Roman" w:hAnsi="Times New Roman" w:cs="Times New Roman"/>
          <w:i/>
          <w:sz w:val="20"/>
          <w:szCs w:val="20"/>
        </w:rPr>
      </w:pPr>
      <w:r w:rsidRPr="00B46E2E">
        <w:rPr>
          <w:rFonts w:ascii="Times New Roman" w:eastAsia="Times New Roman" w:hAnsi="Times New Roman" w:cs="Times New Roman"/>
          <w:sz w:val="20"/>
          <w:szCs w:val="20"/>
        </w:rPr>
        <w:t xml:space="preserve"> </w:t>
      </w:r>
      <w:r w:rsidRPr="00B46E2E">
        <w:rPr>
          <w:rFonts w:ascii="Times New Roman" w:eastAsia="Times New Roman" w:hAnsi="Times New Roman" w:cs="Times New Roman"/>
          <w:i/>
          <w:sz w:val="20"/>
          <w:szCs w:val="20"/>
        </w:rPr>
        <w:t xml:space="preserve">We will see that initial contact is usually followed by conflict and othering--and always by mutual influence.  No groups were merely passive, and contact always led to dialectics of cultural hybridity.  This is why we approach ‘ethnic American literature’ as a series of encounters: we want to maintain the context of groups making contact.  </w:t>
      </w:r>
    </w:p>
    <w:p w14:paraId="140C31A7" w14:textId="77777777" w:rsidR="00B46E2E" w:rsidRPr="00B46E2E" w:rsidRDefault="00B46E2E" w:rsidP="00B46E2E">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rPr>
      </w:pPr>
      <w:r w:rsidRPr="00B46E2E">
        <w:rPr>
          <w:rFonts w:ascii="Times New Roman" w:eastAsia="Times New Roman" w:hAnsi="Times New Roman" w:cs="Times New Roman"/>
          <w:sz w:val="20"/>
          <w:szCs w:val="20"/>
        </w:rPr>
        <w:t xml:space="preserve">By ‘dialectics of cultural hybridity,’ I meant simply that the influence is mutual and ongoing, and that its effect is to change both sides.   </w:t>
      </w:r>
    </w:p>
    <w:p w14:paraId="32D99767" w14:textId="77777777" w:rsidR="00B46E2E" w:rsidRPr="00B46E2E" w:rsidRDefault="00B46E2E" w:rsidP="00B46E2E">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rPr>
      </w:pPr>
      <w:r w:rsidRPr="00B46E2E">
        <w:rPr>
          <w:rFonts w:ascii="Times New Roman" w:eastAsia="Times New Roman" w:hAnsi="Times New Roman" w:cs="Times New Roman"/>
          <w:sz w:val="20"/>
          <w:szCs w:val="20"/>
        </w:rPr>
        <w:t xml:space="preserve">Our syllabus, though, reflects the reality that we rarely hear from both sides at once.  Even when our syllabus includes, say, Spanish and Native American writers, these authors are not responding directly to each other. The best we can do, then, is to </w:t>
      </w:r>
      <w:r w:rsidRPr="00B46E2E">
        <w:rPr>
          <w:rFonts w:ascii="Times New Roman" w:eastAsia="Times New Roman" w:hAnsi="Times New Roman" w:cs="Times New Roman"/>
          <w:i/>
          <w:sz w:val="20"/>
          <w:szCs w:val="20"/>
        </w:rPr>
        <w:t xml:space="preserve">infer </w:t>
      </w:r>
      <w:r w:rsidRPr="00B46E2E">
        <w:rPr>
          <w:rFonts w:ascii="Times New Roman" w:eastAsia="Times New Roman" w:hAnsi="Times New Roman" w:cs="Times New Roman"/>
          <w:sz w:val="20"/>
          <w:szCs w:val="20"/>
        </w:rPr>
        <w:t xml:space="preserve">or even </w:t>
      </w:r>
      <w:r w:rsidRPr="00B46E2E">
        <w:rPr>
          <w:rFonts w:ascii="Times New Roman" w:eastAsia="Times New Roman" w:hAnsi="Times New Roman" w:cs="Times New Roman"/>
          <w:i/>
          <w:sz w:val="20"/>
          <w:szCs w:val="20"/>
        </w:rPr>
        <w:t xml:space="preserve">imagine </w:t>
      </w:r>
      <w:r w:rsidRPr="00B46E2E">
        <w:rPr>
          <w:rFonts w:ascii="Times New Roman" w:eastAsia="Times New Roman" w:hAnsi="Times New Roman" w:cs="Times New Roman"/>
          <w:sz w:val="20"/>
          <w:szCs w:val="20"/>
        </w:rPr>
        <w:t xml:space="preserve">what the ‘other’ is thinking about the historical moment that one writer describes.  For instance, Cortés and Diaz describe Montezuma, but we have no texts from Montezuma himself.  However, between these two texts, we can piece together what Montezuma and the other Aztecs may have thought about the Spanish.  (While trying to keep in mind the ways that the Spanish authors are distorting and misunderstanding what they see.)   </w:t>
      </w:r>
    </w:p>
    <w:p w14:paraId="60922C0C" w14:textId="77777777" w:rsidR="00B46E2E" w:rsidRPr="00B46E2E" w:rsidRDefault="00B46E2E" w:rsidP="00B46E2E">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rPr>
      </w:pPr>
      <w:r w:rsidRPr="00B46E2E">
        <w:rPr>
          <w:rFonts w:ascii="Times New Roman" w:eastAsia="Times New Roman" w:hAnsi="Times New Roman" w:cs="Times New Roman"/>
          <w:sz w:val="20"/>
          <w:szCs w:val="20"/>
        </w:rPr>
        <w:t xml:space="preserve">For this essay, I want you to choose any two class texts, and in each case work from the text to imagine how and why the ‘other’ was reacting.   What did the ‘other’ think about your authors and their people?   </w:t>
      </w:r>
    </w:p>
    <w:p w14:paraId="62B0BC32" w14:textId="77777777" w:rsidR="00B46E2E" w:rsidRPr="00B46E2E" w:rsidRDefault="00B46E2E" w:rsidP="00B46E2E">
      <w:pPr>
        <w:overflowPunct w:val="0"/>
        <w:autoSpaceDE w:val="0"/>
        <w:autoSpaceDN w:val="0"/>
        <w:adjustRightInd w:val="0"/>
        <w:spacing w:before="120" w:after="0" w:line="240" w:lineRule="auto"/>
        <w:textAlignment w:val="baseline"/>
        <w:rPr>
          <w:rFonts w:ascii="Times New Roman" w:eastAsia="Times New Roman" w:hAnsi="Times New Roman" w:cs="Times New Roman"/>
          <w:sz w:val="20"/>
          <w:szCs w:val="20"/>
        </w:rPr>
      </w:pPr>
      <w:r w:rsidRPr="00B46E2E">
        <w:rPr>
          <w:rFonts w:ascii="Times New Roman" w:eastAsia="Times New Roman" w:hAnsi="Times New Roman" w:cs="Times New Roman"/>
          <w:sz w:val="20"/>
          <w:szCs w:val="20"/>
        </w:rPr>
        <w:t xml:space="preserve">Conclude with some sort of tentative synthesis—do your two examples suggest that it is useful or important to try to imagine the Other in literature about contact?   Why or why not?   </w:t>
      </w:r>
    </w:p>
    <w:p w14:paraId="3130C353" w14:textId="77777777" w:rsidR="00790567" w:rsidRDefault="007B7739"/>
    <w:sectPr w:rsidR="007905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5209EC"/>
    <w:multiLevelType w:val="hybridMultilevel"/>
    <w:tmpl w:val="B4EC6B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6E2E"/>
    <w:rsid w:val="0037545F"/>
    <w:rsid w:val="004267E4"/>
    <w:rsid w:val="007B7739"/>
    <w:rsid w:val="00B46E2E"/>
    <w:rsid w:val="00BF5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1F4F5"/>
  <w15:docId w15:val="{CF9AB4B3-7F0E-4805-80CE-25D6F03A6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Montville Township Board of Edu</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Gormley</dc:creator>
  <cp:lastModifiedBy>luis janota</cp:lastModifiedBy>
  <cp:revision>3</cp:revision>
  <dcterms:created xsi:type="dcterms:W3CDTF">2019-04-05T01:06:00Z</dcterms:created>
  <dcterms:modified xsi:type="dcterms:W3CDTF">2019-04-05T01:06:00Z</dcterms:modified>
</cp:coreProperties>
</file>